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F6" w:rsidRPr="007A60F6" w:rsidRDefault="007A60F6" w:rsidP="007A60F6">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7A60F6">
        <w:rPr>
          <w:rFonts w:ascii="Arial" w:hAnsi="Arial" w:cs="Arial"/>
          <w:sz w:val="22"/>
          <w:szCs w:val="22"/>
        </w:rPr>
        <w:t>The Bill implements amendments identified in an operational review of the Coroners Act which, when it came into force in 2003, established a new coronial regime focussed on finding the truth of what occurred in order to prevent deaths from similar causes happening in the future. The review was conducted by the Department of Justice and Attorney-General.</w:t>
      </w:r>
    </w:p>
    <w:p w:rsidR="007A60F6" w:rsidRPr="007A60F6" w:rsidRDefault="007A60F6" w:rsidP="007A60F6">
      <w:pPr>
        <w:numPr>
          <w:ilvl w:val="0"/>
          <w:numId w:val="6"/>
        </w:numPr>
        <w:tabs>
          <w:tab w:val="clear" w:pos="720"/>
          <w:tab w:val="num" w:pos="360"/>
        </w:tabs>
        <w:spacing w:before="240"/>
        <w:ind w:left="360"/>
        <w:jc w:val="both"/>
        <w:rPr>
          <w:rFonts w:ascii="Arial" w:hAnsi="Arial" w:cs="Arial"/>
          <w:sz w:val="22"/>
          <w:szCs w:val="22"/>
        </w:rPr>
      </w:pPr>
      <w:r w:rsidRPr="007A60F6">
        <w:rPr>
          <w:rFonts w:ascii="Arial" w:hAnsi="Arial" w:cs="Arial"/>
          <w:sz w:val="22"/>
          <w:szCs w:val="22"/>
        </w:rPr>
        <w:t>The proposed amendments are primarily procedural and technical in nature and do not involve a shift in the fundamental policy underpinning the legislation or require additional resources.</w:t>
      </w:r>
    </w:p>
    <w:p w:rsidR="007A60F6" w:rsidRDefault="007A60F6" w:rsidP="007A60F6">
      <w:pPr>
        <w:numPr>
          <w:ilvl w:val="0"/>
          <w:numId w:val="6"/>
        </w:numPr>
        <w:tabs>
          <w:tab w:val="clear" w:pos="720"/>
          <w:tab w:val="num" w:pos="360"/>
        </w:tabs>
        <w:spacing w:before="240"/>
        <w:ind w:left="360"/>
        <w:jc w:val="both"/>
        <w:rPr>
          <w:rFonts w:ascii="Arial" w:hAnsi="Arial" w:cs="Arial"/>
          <w:sz w:val="22"/>
          <w:szCs w:val="22"/>
        </w:rPr>
      </w:pPr>
      <w:r w:rsidRPr="007A60F6">
        <w:rPr>
          <w:rFonts w:ascii="Arial" w:hAnsi="Arial" w:cs="Arial"/>
          <w:sz w:val="22"/>
          <w:szCs w:val="22"/>
        </w:rPr>
        <w:t xml:space="preserve">The initiation of the review was unrelated to the </w:t>
      </w:r>
      <w:r w:rsidRPr="007A60F6">
        <w:rPr>
          <w:rFonts w:ascii="Arial" w:hAnsi="Arial" w:cs="Arial"/>
          <w:i/>
          <w:sz w:val="22"/>
          <w:szCs w:val="22"/>
        </w:rPr>
        <w:t>Report of the Queensland Public Hospitals Commission of Inquiry</w:t>
      </w:r>
      <w:r w:rsidRPr="007A60F6">
        <w:rPr>
          <w:rFonts w:ascii="Arial" w:hAnsi="Arial" w:cs="Arial"/>
          <w:sz w:val="22"/>
          <w:szCs w:val="22"/>
        </w:rPr>
        <w:t xml:space="preserve"> (the Davies Report) </w:t>
      </w:r>
      <w:r>
        <w:rPr>
          <w:rFonts w:ascii="Arial" w:hAnsi="Arial" w:cs="Arial"/>
          <w:sz w:val="22"/>
          <w:szCs w:val="22"/>
        </w:rPr>
        <w:t>of</w:t>
      </w:r>
      <w:r w:rsidRPr="007A60F6">
        <w:rPr>
          <w:rFonts w:ascii="Arial" w:hAnsi="Arial" w:cs="Arial"/>
          <w:sz w:val="22"/>
          <w:szCs w:val="22"/>
        </w:rPr>
        <w:t xml:space="preserve"> November 2005. However, the Bill does address one issue raised in the Davies Report</w:t>
      </w:r>
      <w:r>
        <w:rPr>
          <w:rFonts w:ascii="Arial" w:hAnsi="Arial" w:cs="Arial"/>
          <w:sz w:val="22"/>
          <w:szCs w:val="22"/>
        </w:rPr>
        <w:t>, relating</w:t>
      </w:r>
      <w:r w:rsidRPr="007A60F6">
        <w:rPr>
          <w:rFonts w:ascii="Arial" w:hAnsi="Arial" w:cs="Arial"/>
          <w:sz w:val="22"/>
          <w:szCs w:val="22"/>
        </w:rPr>
        <w:t xml:space="preserve"> to the operation of the current provisions requiring the reporting of deaths that are “</w:t>
      </w:r>
      <w:r w:rsidRPr="007A60F6">
        <w:rPr>
          <w:rFonts w:ascii="Arial" w:hAnsi="Arial" w:cs="Arial"/>
          <w:i/>
          <w:sz w:val="22"/>
          <w:szCs w:val="22"/>
        </w:rPr>
        <w:t>not reasonably expected to be the outcome of a health procedure”.</w:t>
      </w:r>
      <w:r w:rsidRPr="007A60F6">
        <w:rPr>
          <w:rFonts w:ascii="Arial" w:hAnsi="Arial" w:cs="Arial"/>
          <w:sz w:val="22"/>
          <w:szCs w:val="22"/>
        </w:rPr>
        <w:t xml:space="preserve">  The Davies Report did not make a recommendation for amendment of this specific provision but highlighted ambiguities in its language. The Bill contains amendments to address this. </w:t>
      </w:r>
    </w:p>
    <w:p w:rsidR="007A60F6" w:rsidRPr="007A60F6" w:rsidRDefault="007A60F6" w:rsidP="007A60F6">
      <w:pPr>
        <w:numPr>
          <w:ilvl w:val="0"/>
          <w:numId w:val="6"/>
        </w:numPr>
        <w:tabs>
          <w:tab w:val="clear" w:pos="720"/>
          <w:tab w:val="num" w:pos="360"/>
        </w:tabs>
        <w:spacing w:before="240"/>
        <w:ind w:left="360"/>
        <w:jc w:val="both"/>
        <w:rPr>
          <w:rFonts w:ascii="Arial" w:hAnsi="Arial" w:cs="Arial"/>
          <w:sz w:val="22"/>
          <w:szCs w:val="22"/>
        </w:rPr>
      </w:pPr>
      <w:r w:rsidRPr="007A60F6">
        <w:rPr>
          <w:rFonts w:ascii="Arial" w:hAnsi="Arial" w:cs="Arial"/>
          <w:sz w:val="22"/>
          <w:szCs w:val="22"/>
        </w:rPr>
        <w:t>Other amendments include:</w:t>
      </w:r>
    </w:p>
    <w:p w:rsidR="007A60F6" w:rsidRPr="007A60F6" w:rsidRDefault="007A60F6" w:rsidP="007A60F6">
      <w:pPr>
        <w:numPr>
          <w:ilvl w:val="0"/>
          <w:numId w:val="13"/>
        </w:numPr>
        <w:spacing w:before="120"/>
        <w:ind w:left="811"/>
        <w:jc w:val="both"/>
        <w:rPr>
          <w:rFonts w:ascii="Arial" w:hAnsi="Arial" w:cs="Arial"/>
          <w:sz w:val="22"/>
          <w:szCs w:val="22"/>
        </w:rPr>
      </w:pPr>
      <w:r w:rsidRPr="007A60F6">
        <w:rPr>
          <w:rFonts w:ascii="Arial" w:hAnsi="Arial" w:cs="Arial"/>
          <w:sz w:val="22"/>
          <w:szCs w:val="22"/>
        </w:rPr>
        <w:t>amendment of the definition of “death in care” in relation to children in care to ensure it applies to all “out of home” placements;</w:t>
      </w:r>
    </w:p>
    <w:p w:rsidR="007A60F6" w:rsidRPr="007A60F6" w:rsidRDefault="007A60F6" w:rsidP="007A60F6">
      <w:pPr>
        <w:numPr>
          <w:ilvl w:val="0"/>
          <w:numId w:val="13"/>
        </w:numPr>
        <w:spacing w:before="120"/>
        <w:ind w:left="811"/>
        <w:jc w:val="both"/>
        <w:rPr>
          <w:rFonts w:ascii="Arial" w:hAnsi="Arial" w:cs="Arial"/>
          <w:sz w:val="22"/>
          <w:szCs w:val="22"/>
        </w:rPr>
      </w:pPr>
      <w:r w:rsidRPr="007A60F6">
        <w:rPr>
          <w:rFonts w:ascii="Arial" w:hAnsi="Arial" w:cs="Arial"/>
          <w:sz w:val="22"/>
          <w:szCs w:val="22"/>
        </w:rPr>
        <w:t xml:space="preserve">amendment of the “death in custody” definition to </w:t>
      </w:r>
      <w:r w:rsidR="00207462">
        <w:rPr>
          <w:rFonts w:ascii="Arial" w:hAnsi="Arial" w:cs="Arial"/>
          <w:sz w:val="22"/>
          <w:szCs w:val="22"/>
        </w:rPr>
        <w:t>ensure</w:t>
      </w:r>
      <w:r w:rsidR="00207462" w:rsidRPr="007A60F6">
        <w:rPr>
          <w:rFonts w:ascii="Arial" w:hAnsi="Arial" w:cs="Arial"/>
          <w:sz w:val="22"/>
          <w:szCs w:val="22"/>
        </w:rPr>
        <w:t xml:space="preserve"> </w:t>
      </w:r>
      <w:r w:rsidRPr="007A60F6">
        <w:rPr>
          <w:rFonts w:ascii="Arial" w:hAnsi="Arial" w:cs="Arial"/>
          <w:sz w:val="22"/>
          <w:szCs w:val="22"/>
        </w:rPr>
        <w:t>all deaths in detention under all State and Commonwealth legislation</w:t>
      </w:r>
      <w:r w:rsidR="00207462">
        <w:rPr>
          <w:rFonts w:ascii="Arial" w:hAnsi="Arial" w:cs="Arial"/>
          <w:sz w:val="22"/>
          <w:szCs w:val="22"/>
        </w:rPr>
        <w:t xml:space="preserve"> are captured</w:t>
      </w:r>
      <w:r w:rsidRPr="007A60F6">
        <w:rPr>
          <w:rFonts w:ascii="Arial" w:hAnsi="Arial" w:cs="Arial"/>
          <w:sz w:val="22"/>
          <w:szCs w:val="22"/>
        </w:rPr>
        <w:t>;</w:t>
      </w:r>
    </w:p>
    <w:p w:rsidR="007A60F6" w:rsidRPr="007A60F6" w:rsidRDefault="007A60F6" w:rsidP="007A60F6">
      <w:pPr>
        <w:numPr>
          <w:ilvl w:val="0"/>
          <w:numId w:val="13"/>
        </w:numPr>
        <w:spacing w:before="120"/>
        <w:ind w:left="811"/>
        <w:jc w:val="both"/>
        <w:rPr>
          <w:rFonts w:ascii="Arial" w:hAnsi="Arial" w:cs="Arial"/>
          <w:sz w:val="22"/>
          <w:szCs w:val="22"/>
        </w:rPr>
      </w:pPr>
      <w:r w:rsidRPr="007A60F6">
        <w:rPr>
          <w:rFonts w:ascii="Arial" w:hAnsi="Arial" w:cs="Arial"/>
          <w:sz w:val="22"/>
          <w:szCs w:val="22"/>
        </w:rPr>
        <w:t>establishment of a new category of reportable death “</w:t>
      </w:r>
      <w:r w:rsidRPr="007A60F6">
        <w:rPr>
          <w:rFonts w:ascii="Arial" w:hAnsi="Arial" w:cs="Arial"/>
          <w:i/>
          <w:sz w:val="22"/>
          <w:szCs w:val="22"/>
        </w:rPr>
        <w:t>deaths which occur in the course of, or as a result of, police operations</w:t>
      </w:r>
      <w:r w:rsidRPr="007A60F6">
        <w:rPr>
          <w:rFonts w:ascii="Arial" w:hAnsi="Arial" w:cs="Arial"/>
          <w:sz w:val="22"/>
          <w:szCs w:val="22"/>
        </w:rPr>
        <w:t>” which must be reported to the State Coroner or Deputy State Coroner;</w:t>
      </w:r>
    </w:p>
    <w:p w:rsidR="007A60F6" w:rsidRPr="007A60F6" w:rsidRDefault="007A60F6" w:rsidP="007A60F6">
      <w:pPr>
        <w:numPr>
          <w:ilvl w:val="0"/>
          <w:numId w:val="13"/>
        </w:numPr>
        <w:spacing w:before="120"/>
        <w:ind w:left="811"/>
        <w:jc w:val="both"/>
        <w:rPr>
          <w:rFonts w:ascii="Arial" w:hAnsi="Arial" w:cs="Arial"/>
          <w:sz w:val="22"/>
          <w:szCs w:val="22"/>
        </w:rPr>
      </w:pPr>
      <w:r w:rsidRPr="007A60F6">
        <w:rPr>
          <w:rFonts w:ascii="Arial" w:hAnsi="Arial" w:cs="Arial"/>
          <w:sz w:val="22"/>
          <w:szCs w:val="22"/>
        </w:rPr>
        <w:t>implementation of a model “aid to coroner” provision agreed to by the Standing Committee of Attorneys-General to facilitate cross-jurisdictional assistance;</w:t>
      </w:r>
    </w:p>
    <w:p w:rsidR="007A60F6" w:rsidRPr="007A60F6" w:rsidRDefault="007A60F6" w:rsidP="007A60F6">
      <w:pPr>
        <w:numPr>
          <w:ilvl w:val="0"/>
          <w:numId w:val="13"/>
        </w:numPr>
        <w:spacing w:before="120"/>
        <w:ind w:left="811"/>
        <w:jc w:val="both"/>
        <w:rPr>
          <w:rFonts w:ascii="Arial" w:hAnsi="Arial" w:cs="Arial"/>
          <w:sz w:val="22"/>
          <w:szCs w:val="22"/>
        </w:rPr>
      </w:pPr>
      <w:r w:rsidRPr="007A60F6">
        <w:rPr>
          <w:rFonts w:ascii="Arial" w:hAnsi="Arial" w:cs="Arial"/>
          <w:sz w:val="22"/>
          <w:szCs w:val="22"/>
        </w:rPr>
        <w:t>provision for review of decisions as to whether a death is reportable and clarification of coroners’ powers in the preliminary investigation period; and</w:t>
      </w:r>
    </w:p>
    <w:p w:rsidR="007A60F6" w:rsidRPr="007A60F6" w:rsidRDefault="007A60F6" w:rsidP="007A60F6">
      <w:pPr>
        <w:numPr>
          <w:ilvl w:val="0"/>
          <w:numId w:val="13"/>
        </w:numPr>
        <w:spacing w:before="120"/>
        <w:ind w:left="811"/>
        <w:jc w:val="both"/>
        <w:rPr>
          <w:rFonts w:ascii="Arial" w:hAnsi="Arial" w:cs="Arial"/>
          <w:sz w:val="22"/>
          <w:szCs w:val="22"/>
        </w:rPr>
      </w:pPr>
      <w:r w:rsidRPr="007A60F6">
        <w:rPr>
          <w:rFonts w:ascii="Arial" w:hAnsi="Arial" w:cs="Arial"/>
          <w:sz w:val="22"/>
          <w:szCs w:val="22"/>
        </w:rPr>
        <w:t>amendments to clarify and improve investigation and pre-inquest conference processes and to facilitate reopening of investigations and inquest.</w:t>
      </w:r>
    </w:p>
    <w:p w:rsidR="007A60F6" w:rsidRPr="007A60F6" w:rsidRDefault="007A60F6" w:rsidP="007A60F6">
      <w:pPr>
        <w:numPr>
          <w:ilvl w:val="0"/>
          <w:numId w:val="6"/>
        </w:numPr>
        <w:tabs>
          <w:tab w:val="clear" w:pos="720"/>
          <w:tab w:val="num" w:pos="360"/>
        </w:tabs>
        <w:spacing w:before="240"/>
        <w:ind w:left="360"/>
        <w:jc w:val="both"/>
        <w:rPr>
          <w:rFonts w:ascii="Arial" w:hAnsi="Arial" w:cs="Arial"/>
          <w:sz w:val="22"/>
          <w:szCs w:val="22"/>
        </w:rPr>
      </w:pPr>
      <w:r w:rsidRPr="007A60F6">
        <w:rPr>
          <w:rFonts w:ascii="Arial" w:hAnsi="Arial" w:cs="Arial"/>
          <w:sz w:val="22"/>
          <w:szCs w:val="22"/>
        </w:rPr>
        <w:t>The Bill includes amendments to the</w:t>
      </w:r>
      <w:r w:rsidRPr="004E6FA8">
        <w:rPr>
          <w:rFonts w:ascii="Arial" w:hAnsi="Arial" w:cs="Arial"/>
          <w:sz w:val="22"/>
          <w:szCs w:val="22"/>
        </w:rPr>
        <w:t xml:space="preserve"> </w:t>
      </w:r>
      <w:r w:rsidR="004E6FA8" w:rsidRPr="004E6FA8">
        <w:rPr>
          <w:rFonts w:ascii="Arial" w:hAnsi="Arial" w:cs="Arial"/>
          <w:i/>
          <w:sz w:val="22"/>
          <w:szCs w:val="22"/>
        </w:rPr>
        <w:t>Births, Deaths and Marriages Registration Act 2003</w:t>
      </w:r>
      <w:r w:rsidR="004E6FA8" w:rsidRPr="004E6FA8">
        <w:rPr>
          <w:rFonts w:ascii="Arial" w:hAnsi="Arial" w:cs="Arial"/>
          <w:sz w:val="22"/>
          <w:szCs w:val="22"/>
        </w:rPr>
        <w:t xml:space="preserve"> </w:t>
      </w:r>
      <w:r w:rsidRPr="007A60F6">
        <w:rPr>
          <w:rFonts w:ascii="Arial" w:hAnsi="Arial" w:cs="Arial"/>
          <w:sz w:val="22"/>
          <w:szCs w:val="22"/>
        </w:rPr>
        <w:t xml:space="preserve"> to implement a recommendation of the State Coroner to require the Registrar-General to amend the death register to reflect a coroner’s findings as to cause of death.</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7A60F6" w:rsidRPr="007A60F6">
        <w:rPr>
          <w:rFonts w:ascii="Arial" w:hAnsi="Arial" w:cs="Arial"/>
          <w:sz w:val="22"/>
          <w:szCs w:val="22"/>
          <w:lang w:val="en-US"/>
        </w:rPr>
        <w:t>that the Coroners and Other Acts Amendment Bill 2008</w:t>
      </w:r>
      <w:r w:rsidR="007A60F6">
        <w:rPr>
          <w:rFonts w:ascii="Arial" w:hAnsi="Arial" w:cs="Arial"/>
          <w:sz w:val="22"/>
          <w:szCs w:val="22"/>
          <w:lang w:val="en-US"/>
        </w:rPr>
        <w:t xml:space="preserve"> </w:t>
      </w:r>
      <w:r w:rsidR="007A60F6" w:rsidRPr="007A60F6">
        <w:rPr>
          <w:rFonts w:ascii="Arial" w:hAnsi="Arial" w:cs="Arial"/>
          <w:sz w:val="22"/>
          <w:szCs w:val="22"/>
          <w:lang w:val="en-US"/>
        </w:rPr>
        <w:t>be introduced into the Legislative Assembly</w:t>
      </w:r>
      <w:r w:rsidR="007A60F6">
        <w:rPr>
          <w:rFonts w:ascii="Arial" w:hAnsi="Arial" w:cs="Arial"/>
          <w:sz w:val="22"/>
          <w:szCs w:val="22"/>
          <w:lang w:val="en-US"/>
        </w:rPr>
        <w:t>.</w:t>
      </w:r>
      <w:r w:rsidR="007A60F6" w:rsidRPr="007A60F6">
        <w:rPr>
          <w:rFonts w:ascii="Arial" w:hAnsi="Arial" w:cs="Arial"/>
          <w:sz w:val="22"/>
          <w:szCs w:val="22"/>
        </w:rPr>
        <w:t xml:space="preserve"> </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7A60F6" w:rsidRPr="007A60F6" w:rsidRDefault="00387A16" w:rsidP="00250C99">
      <w:pPr>
        <w:numPr>
          <w:ilvl w:val="0"/>
          <w:numId w:val="8"/>
        </w:numPr>
        <w:spacing w:before="120"/>
        <w:ind w:left="811"/>
        <w:jc w:val="both"/>
        <w:rPr>
          <w:rFonts w:ascii="Arial" w:hAnsi="Arial" w:cs="Arial"/>
          <w:sz w:val="22"/>
          <w:szCs w:val="22"/>
        </w:rPr>
      </w:pPr>
      <w:hyperlink r:id="rId7" w:history="1">
        <w:r w:rsidR="007A60F6" w:rsidRPr="00441DB5">
          <w:rPr>
            <w:rStyle w:val="Hyperlink"/>
            <w:rFonts w:ascii="Arial" w:hAnsi="Arial" w:cs="Arial"/>
            <w:sz w:val="22"/>
            <w:szCs w:val="22"/>
            <w:lang w:val="en-US"/>
          </w:rPr>
          <w:t>Coroners and Other Acts Amendment Bill 2008</w:t>
        </w:r>
      </w:hyperlink>
    </w:p>
    <w:p w:rsidR="007A60F6" w:rsidRPr="007A60F6" w:rsidRDefault="00387A16" w:rsidP="00250C99">
      <w:pPr>
        <w:numPr>
          <w:ilvl w:val="0"/>
          <w:numId w:val="8"/>
        </w:numPr>
        <w:spacing w:before="120"/>
        <w:ind w:left="811"/>
        <w:jc w:val="both"/>
        <w:rPr>
          <w:rFonts w:ascii="Arial" w:hAnsi="Arial" w:cs="Arial"/>
          <w:sz w:val="22"/>
          <w:szCs w:val="22"/>
        </w:rPr>
      </w:pPr>
      <w:hyperlink r:id="rId8" w:history="1">
        <w:r w:rsidR="007A60F6" w:rsidRPr="00441DB5">
          <w:rPr>
            <w:rStyle w:val="Hyperlink"/>
            <w:rFonts w:ascii="Arial" w:hAnsi="Arial" w:cs="Arial"/>
            <w:sz w:val="22"/>
            <w:szCs w:val="22"/>
            <w:lang w:val="en-US"/>
          </w:rPr>
          <w:t>Explanatory Notes</w:t>
        </w:r>
      </w:hyperlink>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9"/>
      <w:footerReference w:type="default" r:id="rId10"/>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CA" w:rsidRDefault="00C85ECA">
      <w:r>
        <w:separator/>
      </w:r>
    </w:p>
  </w:endnote>
  <w:endnote w:type="continuationSeparator" w:id="0">
    <w:p w:rsidR="00C85ECA" w:rsidRDefault="00C8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CA" w:rsidRDefault="00C85ECA">
      <w:r>
        <w:separator/>
      </w:r>
    </w:p>
  </w:footnote>
  <w:footnote w:type="continuationSeparator" w:id="0">
    <w:p w:rsidR="00C85ECA" w:rsidRDefault="00C8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3C70B7" w:rsidP="006A6752">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EE0D16">
      <w:rPr>
        <w:rFonts w:ascii="Arial" w:hAnsi="Arial" w:cs="Arial"/>
        <w:b/>
        <w:sz w:val="22"/>
        <w:szCs w:val="22"/>
        <w:u w:val="single"/>
      </w:rPr>
      <w:t>October 2008</w:t>
    </w:r>
  </w:p>
  <w:p w:rsidR="008F44CD" w:rsidRDefault="00EE0D16" w:rsidP="000400F9">
    <w:pPr>
      <w:pStyle w:val="Header"/>
      <w:spacing w:before="120"/>
      <w:rPr>
        <w:rFonts w:ascii="Arial" w:hAnsi="Arial" w:cs="Arial"/>
        <w:b/>
        <w:sz w:val="22"/>
        <w:szCs w:val="22"/>
        <w:u w:val="single"/>
      </w:rPr>
    </w:pPr>
    <w:r w:rsidRPr="00EE0D16">
      <w:rPr>
        <w:rFonts w:ascii="Arial" w:hAnsi="Arial" w:cs="Arial"/>
        <w:b/>
        <w:sz w:val="22"/>
        <w:szCs w:val="22"/>
        <w:u w:val="single"/>
      </w:rPr>
      <w:t>Coroners and Other Acts Amendment Bill 2008</w:t>
    </w:r>
  </w:p>
  <w:p w:rsidR="008F44CD" w:rsidRDefault="00EE0D16" w:rsidP="000400F9">
    <w:pPr>
      <w:pStyle w:val="Header"/>
      <w:spacing w:before="120"/>
      <w:rPr>
        <w:rFonts w:ascii="Arial" w:hAnsi="Arial" w:cs="Arial"/>
        <w:b/>
        <w:sz w:val="22"/>
        <w:szCs w:val="22"/>
        <w:u w:val="single"/>
      </w:rPr>
    </w:pPr>
    <w:r w:rsidRPr="00EE0D16">
      <w:rPr>
        <w:rFonts w:ascii="Arial" w:hAnsi="Arial" w:cs="Arial"/>
        <w:b/>
        <w:sz w:val="22"/>
        <w:szCs w:val="22"/>
        <w:u w:val="single"/>
      </w:rPr>
      <w:t xml:space="preserve">Attorney-General and Minister for Justice and Minister Assisting the Premier in </w:t>
    </w:r>
    <w:smartTag w:uri="urn:schemas-microsoft-com:office:smarttags" w:element="place">
      <w:r w:rsidRPr="00EE0D16">
        <w:rPr>
          <w:rFonts w:ascii="Arial" w:hAnsi="Arial" w:cs="Arial"/>
          <w:b/>
          <w:sz w:val="22"/>
          <w:szCs w:val="22"/>
          <w:u w:val="single"/>
        </w:rPr>
        <w:t>Western Queensland</w:t>
      </w:r>
    </w:smartTag>
  </w:p>
  <w:p w:rsidR="008F44CD" w:rsidRPr="000400F9" w:rsidRDefault="008F44CD"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FEE5912"/>
    <w:multiLevelType w:val="hybridMultilevel"/>
    <w:tmpl w:val="87DCAD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40565"/>
    <w:multiLevelType w:val="hybridMultilevel"/>
    <w:tmpl w:val="255C8472"/>
    <w:lvl w:ilvl="0" w:tplc="B7A0238C">
      <w:start w:val="1"/>
      <w:numFmt w:val="bullet"/>
      <w:lvlText w:val=""/>
      <w:lvlJc w:val="left"/>
      <w:pPr>
        <w:tabs>
          <w:tab w:val="num" w:pos="814"/>
        </w:tabs>
        <w:ind w:left="814" w:hanging="454"/>
      </w:pPr>
      <w:rPr>
        <w:rFonts w:ascii="Symbol" w:hAnsi="Symbol" w:hint="default"/>
        <w:color w:val="auto"/>
        <w:sz w:val="23"/>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2"/>
  </w:num>
  <w:num w:numId="5">
    <w:abstractNumId w:val="1"/>
  </w:num>
  <w:num w:numId="6">
    <w:abstractNumId w:val="12"/>
  </w:num>
  <w:num w:numId="7">
    <w:abstractNumId w:val="11"/>
  </w:num>
  <w:num w:numId="8">
    <w:abstractNumId w:val="9"/>
  </w:num>
  <w:num w:numId="9">
    <w:abstractNumId w:val="8"/>
  </w:num>
  <w:num w:numId="10">
    <w:abstractNumId w:val="5"/>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16"/>
    <w:rsid w:val="00021B34"/>
    <w:rsid w:val="000400F9"/>
    <w:rsid w:val="00076D9A"/>
    <w:rsid w:val="00086117"/>
    <w:rsid w:val="000A2150"/>
    <w:rsid w:val="000B4B48"/>
    <w:rsid w:val="000B545C"/>
    <w:rsid w:val="001141E1"/>
    <w:rsid w:val="00120CCC"/>
    <w:rsid w:val="00133013"/>
    <w:rsid w:val="00133A34"/>
    <w:rsid w:val="00153986"/>
    <w:rsid w:val="00160524"/>
    <w:rsid w:val="001946FB"/>
    <w:rsid w:val="00207462"/>
    <w:rsid w:val="00226730"/>
    <w:rsid w:val="00250C99"/>
    <w:rsid w:val="00254E35"/>
    <w:rsid w:val="0028053C"/>
    <w:rsid w:val="002F57E4"/>
    <w:rsid w:val="0032048B"/>
    <w:rsid w:val="00346156"/>
    <w:rsid w:val="00382380"/>
    <w:rsid w:val="00387A16"/>
    <w:rsid w:val="003A269C"/>
    <w:rsid w:val="003C3732"/>
    <w:rsid w:val="003C70B7"/>
    <w:rsid w:val="00435BE5"/>
    <w:rsid w:val="00441DB5"/>
    <w:rsid w:val="0048019C"/>
    <w:rsid w:val="00486A99"/>
    <w:rsid w:val="004B08BD"/>
    <w:rsid w:val="004B4C48"/>
    <w:rsid w:val="004E6C38"/>
    <w:rsid w:val="004E6FA8"/>
    <w:rsid w:val="004F1D66"/>
    <w:rsid w:val="00550A2A"/>
    <w:rsid w:val="0056401D"/>
    <w:rsid w:val="005729D1"/>
    <w:rsid w:val="005B1D9B"/>
    <w:rsid w:val="005D0C1C"/>
    <w:rsid w:val="005E37D6"/>
    <w:rsid w:val="006100CC"/>
    <w:rsid w:val="00644076"/>
    <w:rsid w:val="006631CF"/>
    <w:rsid w:val="006A6752"/>
    <w:rsid w:val="006B3B54"/>
    <w:rsid w:val="006D0869"/>
    <w:rsid w:val="006E6713"/>
    <w:rsid w:val="007060D7"/>
    <w:rsid w:val="007255FE"/>
    <w:rsid w:val="00726F36"/>
    <w:rsid w:val="007A25F4"/>
    <w:rsid w:val="007A60F6"/>
    <w:rsid w:val="007A6599"/>
    <w:rsid w:val="007E3975"/>
    <w:rsid w:val="007F52D6"/>
    <w:rsid w:val="0082040E"/>
    <w:rsid w:val="00845D3E"/>
    <w:rsid w:val="00883422"/>
    <w:rsid w:val="00896D8F"/>
    <w:rsid w:val="008A5F1B"/>
    <w:rsid w:val="008B7E17"/>
    <w:rsid w:val="008F44CD"/>
    <w:rsid w:val="00922A5B"/>
    <w:rsid w:val="00957582"/>
    <w:rsid w:val="009D0C12"/>
    <w:rsid w:val="009F5476"/>
    <w:rsid w:val="00A20C0E"/>
    <w:rsid w:val="00A30F55"/>
    <w:rsid w:val="00A813C7"/>
    <w:rsid w:val="00A95BFB"/>
    <w:rsid w:val="00AA128C"/>
    <w:rsid w:val="00AB6637"/>
    <w:rsid w:val="00AE1995"/>
    <w:rsid w:val="00B40BDF"/>
    <w:rsid w:val="00B76F0D"/>
    <w:rsid w:val="00C07656"/>
    <w:rsid w:val="00C85B71"/>
    <w:rsid w:val="00C85ECA"/>
    <w:rsid w:val="00CE6FBA"/>
    <w:rsid w:val="00D0157A"/>
    <w:rsid w:val="00DD3CD5"/>
    <w:rsid w:val="00DD497C"/>
    <w:rsid w:val="00E463C2"/>
    <w:rsid w:val="00EA00BF"/>
    <w:rsid w:val="00EE0D16"/>
    <w:rsid w:val="00EE4349"/>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441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oroners%20and%20Other%20Acts%20Amendment%20Bill%20EXPNOTES.pdf" TargetMode="External"/><Relationship Id="rId3" Type="http://schemas.openxmlformats.org/officeDocument/2006/relationships/settings" Target="settings.xml"/><Relationship Id="rId7" Type="http://schemas.openxmlformats.org/officeDocument/2006/relationships/hyperlink" Target="attachments/Coroners%20and%20Other%20Acts%20Amendment%20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2139</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2526</CharactersWithSpaces>
  <SharedDoc>false</SharedDoc>
  <HyperlinkBase>https://www.cabinet.qld.gov.au/documents/2008/Oct/Coroners Bill ATI/</HyperlinkBase>
  <HLinks>
    <vt:vector size="12" baseType="variant">
      <vt:variant>
        <vt:i4>6291578</vt:i4>
      </vt:variant>
      <vt:variant>
        <vt:i4>3</vt:i4>
      </vt:variant>
      <vt:variant>
        <vt:i4>0</vt:i4>
      </vt:variant>
      <vt:variant>
        <vt:i4>5</vt:i4>
      </vt:variant>
      <vt:variant>
        <vt:lpwstr>attachments/Coroners and Other Acts Amendment Bill EXPNOTES.pdf</vt:lpwstr>
      </vt:variant>
      <vt:variant>
        <vt:lpwstr/>
      </vt:variant>
      <vt:variant>
        <vt:i4>2293873</vt:i4>
      </vt:variant>
      <vt:variant>
        <vt:i4>0</vt:i4>
      </vt:variant>
      <vt:variant>
        <vt:i4>0</vt:i4>
      </vt:variant>
      <vt:variant>
        <vt:i4>5</vt:i4>
      </vt:variant>
      <vt:variant>
        <vt:lpwstr>attachments/Coroners and Other Acts Amendment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2008-12-02T08:36:00Z</cp:lastPrinted>
  <dcterms:created xsi:type="dcterms:W3CDTF">2017-10-24T07:46:00Z</dcterms:created>
  <dcterms:modified xsi:type="dcterms:W3CDTF">2018-03-06T00:53:00Z</dcterms:modified>
  <cp:category>Coroner,Justice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-340678201</vt:i4>
  </property>
  <property fmtid="{D5CDD505-2E9C-101B-9397-08002B2CF9AE}" pid="3" name="_NewReviewCycle">
    <vt:lpwstr/>
  </property>
  <property fmtid="{D5CDD505-2E9C-101B-9397-08002B2CF9AE}" pid="4" name="_PreviousAdHocReviewCycleID">
    <vt:i4>-47618795</vt:i4>
  </property>
  <property fmtid="{D5CDD505-2E9C-101B-9397-08002B2CF9AE}" pid="5" name="_ReviewingToolsShownOnce">
    <vt:lpwstr/>
  </property>
</Properties>
</file>